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10B" w:rsidRPr="00342889" w:rsidRDefault="002A110B" w:rsidP="002A110B">
      <w:pPr>
        <w:jc w:val="center"/>
        <w:rPr>
          <w:rFonts w:ascii="Arial" w:hAnsi="Arial" w:cs="Arial"/>
          <w:b/>
          <w:sz w:val="28"/>
          <w:lang w:val="ro-RO"/>
        </w:rPr>
      </w:pPr>
      <w:r w:rsidRPr="00342889">
        <w:rPr>
          <w:rFonts w:ascii="Arial" w:hAnsi="Arial" w:cs="Arial"/>
          <w:b/>
          <w:sz w:val="28"/>
          <w:lang w:val="ro-RO"/>
        </w:rPr>
        <w:t>Antigel</w:t>
      </w:r>
      <w:r w:rsidR="00441C61" w:rsidRPr="00342889">
        <w:rPr>
          <w:rFonts w:ascii="Arial" w:hAnsi="Arial" w:cs="Arial"/>
          <w:b/>
          <w:sz w:val="28"/>
          <w:lang w:val="ro-RO"/>
        </w:rPr>
        <w:t xml:space="preserve"> </w:t>
      </w:r>
      <w:r w:rsidRPr="00342889">
        <w:rPr>
          <w:rFonts w:ascii="Arial" w:hAnsi="Arial" w:cs="Arial"/>
          <w:b/>
          <w:sz w:val="28"/>
          <w:lang w:val="ro-RO"/>
        </w:rPr>
        <w:t xml:space="preserve">Instalatii Termice </w:t>
      </w:r>
    </w:p>
    <w:p w:rsidR="00A85692" w:rsidRPr="00342889" w:rsidRDefault="00C6637E" w:rsidP="00A85692">
      <w:pPr>
        <w:jc w:val="center"/>
        <w:rPr>
          <w:rFonts w:ascii="Arial" w:hAnsi="Arial" w:cs="Arial"/>
          <w:b/>
          <w:sz w:val="28"/>
          <w:lang w:val="ro-RO"/>
        </w:rPr>
      </w:pPr>
      <w:r w:rsidRPr="00342889">
        <w:rPr>
          <w:rFonts w:ascii="Arial" w:hAnsi="Arial" w:cs="Arial"/>
          <w:b/>
          <w:sz w:val="28"/>
          <w:lang w:val="ro-RO"/>
        </w:rPr>
        <w:t>GLYCOXOL CT LONG LIFE -60</w:t>
      </w:r>
      <w:r w:rsidRPr="00342889">
        <w:rPr>
          <w:rFonts w:ascii="Arial" w:hAnsi="Arial" w:cs="Arial"/>
          <w:b/>
          <w:sz w:val="28"/>
          <w:vertAlign w:val="superscript"/>
          <w:lang w:val="ro-RO"/>
        </w:rPr>
        <w:t>0</w:t>
      </w:r>
    </w:p>
    <w:p w:rsidR="00135C5C" w:rsidRPr="00342889" w:rsidRDefault="00400C07" w:rsidP="00135C5C">
      <w:pPr>
        <w:spacing w:after="0" w:line="276" w:lineRule="auto"/>
        <w:ind w:firstLine="720"/>
        <w:jc w:val="both"/>
        <w:rPr>
          <w:rFonts w:ascii="Arial" w:hAnsi="Arial" w:cs="Arial"/>
          <w:lang w:val="ro-RO"/>
        </w:rPr>
      </w:pPr>
      <w:r w:rsidRPr="00342889">
        <w:rPr>
          <w:rFonts w:ascii="Arial" w:hAnsi="Arial" w:cs="Arial"/>
          <w:lang w:val="ro-RO"/>
        </w:rPr>
        <w:t>Antigel concentrat pe baza de etilenglicol, aditivat cu inhibitori de coroziune de ultima generatie si stabilizatori de pH, special conceput pentru instalatii.</w:t>
      </w:r>
    </w:p>
    <w:p w:rsidR="00135C5C" w:rsidRPr="00342889" w:rsidRDefault="00400C07" w:rsidP="00135C5C">
      <w:pPr>
        <w:spacing w:after="0" w:line="276" w:lineRule="auto"/>
        <w:ind w:firstLine="720"/>
        <w:jc w:val="both"/>
        <w:rPr>
          <w:rFonts w:ascii="Arial" w:hAnsi="Arial" w:cs="Arial"/>
          <w:lang w:val="ro-RO" w:eastAsia="ar-SA"/>
        </w:rPr>
      </w:pPr>
      <w:r w:rsidRPr="00342889">
        <w:rPr>
          <w:rFonts w:ascii="Arial" w:hAnsi="Arial" w:cs="Arial"/>
          <w:b/>
          <w:lang w:val="ro-RO" w:eastAsia="ar-SA"/>
        </w:rPr>
        <w:t>Recomandat pentru</w:t>
      </w:r>
      <w:r w:rsidR="00BD283D" w:rsidRPr="00342889">
        <w:rPr>
          <w:rFonts w:ascii="Arial" w:hAnsi="Arial" w:cs="Arial"/>
          <w:b/>
          <w:lang w:val="ro-RO" w:eastAsia="ar-SA"/>
        </w:rPr>
        <w:t>:</w:t>
      </w:r>
      <w:r w:rsidRPr="00342889">
        <w:rPr>
          <w:rFonts w:ascii="Arial" w:hAnsi="Arial" w:cs="Arial"/>
          <w:lang w:val="ro-RO" w:eastAsia="ar-SA"/>
        </w:rPr>
        <w:t xml:space="preserve"> instalatii </w:t>
      </w:r>
      <w:r w:rsidR="006313F4" w:rsidRPr="00342889">
        <w:rPr>
          <w:rFonts w:ascii="Arial" w:hAnsi="Arial" w:cs="Arial"/>
          <w:lang w:val="ro-RO" w:eastAsia="ar-SA"/>
        </w:rPr>
        <w:t xml:space="preserve">termice, centrale </w:t>
      </w:r>
      <w:r w:rsidR="00BD283D" w:rsidRPr="00342889">
        <w:rPr>
          <w:rFonts w:ascii="Arial" w:hAnsi="Arial" w:cs="Arial"/>
          <w:lang w:val="ro-RO" w:eastAsia="ar-SA"/>
        </w:rPr>
        <w:t>cu</w:t>
      </w:r>
      <w:r w:rsidR="006313F4" w:rsidRPr="00342889">
        <w:rPr>
          <w:rFonts w:ascii="Arial" w:hAnsi="Arial" w:cs="Arial"/>
          <w:lang w:val="ro-RO" w:eastAsia="ar-SA"/>
        </w:rPr>
        <w:t xml:space="preserve"> condensare,</w:t>
      </w:r>
      <w:r w:rsidR="005A077E" w:rsidRPr="00342889">
        <w:rPr>
          <w:rFonts w:ascii="Arial" w:hAnsi="Arial" w:cs="Arial"/>
          <w:lang w:val="ro-RO" w:eastAsia="ar-SA"/>
        </w:rPr>
        <w:t xml:space="preserve"> </w:t>
      </w:r>
      <w:r w:rsidRPr="00342889">
        <w:rPr>
          <w:rFonts w:ascii="Arial" w:hAnsi="Arial" w:cs="Arial"/>
          <w:lang w:val="ro-RO" w:eastAsia="ar-SA"/>
        </w:rPr>
        <w:t>s</w:t>
      </w:r>
      <w:r w:rsidR="006313F4" w:rsidRPr="00342889">
        <w:rPr>
          <w:rFonts w:ascii="Arial" w:hAnsi="Arial" w:cs="Arial"/>
          <w:lang w:val="ro-RO" w:eastAsia="ar-SA"/>
        </w:rPr>
        <w:t xml:space="preserve">chimbatoare de caldura moderne, </w:t>
      </w:r>
      <w:r w:rsidRPr="00342889">
        <w:rPr>
          <w:rFonts w:ascii="Arial" w:hAnsi="Arial" w:cs="Arial"/>
          <w:lang w:val="ro-RO" w:eastAsia="ar-SA"/>
        </w:rPr>
        <w:t xml:space="preserve">instalatii de climatizare, </w:t>
      </w:r>
      <w:r w:rsidR="00BD283D" w:rsidRPr="00342889">
        <w:rPr>
          <w:rFonts w:ascii="Arial" w:hAnsi="Arial" w:cs="Arial"/>
          <w:lang w:val="ro-RO" w:eastAsia="ar-SA"/>
        </w:rPr>
        <w:t xml:space="preserve">instalatii </w:t>
      </w:r>
      <w:r w:rsidRPr="00342889">
        <w:rPr>
          <w:rFonts w:ascii="Arial" w:hAnsi="Arial" w:cs="Arial"/>
          <w:lang w:val="ro-RO" w:eastAsia="ar-SA"/>
        </w:rPr>
        <w:t>incalzire pardoseala, chillere, pompe de căldură, ventiloconvectoare</w:t>
      </w:r>
      <w:r w:rsidR="00AC5741" w:rsidRPr="00342889">
        <w:rPr>
          <w:rFonts w:ascii="Arial" w:hAnsi="Arial" w:cs="Arial"/>
          <w:lang w:val="ro-RO" w:eastAsia="ar-SA"/>
        </w:rPr>
        <w:t>, centrale termice pe lemne</w:t>
      </w:r>
      <w:r w:rsidR="00135C5C" w:rsidRPr="00342889">
        <w:rPr>
          <w:rFonts w:ascii="Arial" w:hAnsi="Arial" w:cs="Arial"/>
          <w:lang w:val="ro-RO" w:eastAsia="ar-SA"/>
        </w:rPr>
        <w:t xml:space="preserve">. </w:t>
      </w:r>
      <w:r w:rsidR="009879FD">
        <w:rPr>
          <w:rFonts w:ascii="Arial" w:hAnsi="Arial" w:cs="Arial"/>
          <w:lang w:val="ro-RO" w:eastAsia="ar-SA"/>
        </w:rPr>
        <w:t>In c cazul instalatilor vechi se vor folosi dezincrustanti</w:t>
      </w:r>
    </w:p>
    <w:p w:rsidR="00AC5741" w:rsidRPr="00342889" w:rsidRDefault="00AC5741" w:rsidP="00135C5C">
      <w:pPr>
        <w:spacing w:after="0" w:line="276" w:lineRule="auto"/>
        <w:ind w:firstLine="720"/>
        <w:jc w:val="both"/>
        <w:rPr>
          <w:rFonts w:ascii="Arial" w:hAnsi="Arial" w:cs="Arial"/>
          <w:b/>
          <w:lang w:val="ro-RO" w:eastAsia="ar-SA"/>
        </w:rPr>
      </w:pPr>
      <w:r w:rsidRPr="00342889">
        <w:rPr>
          <w:rFonts w:ascii="Arial" w:hAnsi="Arial" w:cs="Arial"/>
          <w:b/>
          <w:lang w:val="ro-RO" w:eastAsia="ar-SA"/>
        </w:rPr>
        <w:t xml:space="preserve">Mod de utilizare: </w:t>
      </w:r>
      <w:r w:rsidRPr="00342889">
        <w:rPr>
          <w:rFonts w:ascii="Arial" w:hAnsi="Arial" w:cs="Arial"/>
          <w:lang w:val="ro-RO" w:eastAsia="ar-SA"/>
        </w:rPr>
        <w:t>inainte de introducerea antigelului se recomanda curatarea si spalarea instalatiei chiar daca este noua</w:t>
      </w:r>
      <w:r w:rsidR="009879FD">
        <w:rPr>
          <w:rFonts w:ascii="Arial" w:hAnsi="Arial" w:cs="Arial"/>
          <w:lang w:val="ro-RO" w:eastAsia="ar-SA"/>
        </w:rPr>
        <w:t xml:space="preserve"> iar in cazul instalatiilor vechi se vor folosi si dezincrustanti.</w:t>
      </w:r>
      <w:r w:rsidRPr="00342889">
        <w:rPr>
          <w:rFonts w:ascii="Arial" w:hAnsi="Arial" w:cs="Arial"/>
          <w:lang w:val="ro-RO" w:eastAsia="ar-SA"/>
        </w:rPr>
        <w:t xml:space="preserve"> Se verifica etanseitatea racordurilor. Diluarea antigelului se face intr-un vas inainte de a se introduce in instalatie.</w:t>
      </w:r>
    </w:p>
    <w:p w:rsidR="00671582" w:rsidRPr="00342889" w:rsidRDefault="00135C5C" w:rsidP="00671582">
      <w:pPr>
        <w:spacing w:after="0" w:line="276" w:lineRule="auto"/>
        <w:ind w:firstLine="720"/>
        <w:jc w:val="both"/>
        <w:rPr>
          <w:rFonts w:ascii="Arial" w:hAnsi="Arial" w:cs="Arial"/>
          <w:lang w:val="ro-RO"/>
        </w:rPr>
      </w:pPr>
      <w:r w:rsidRPr="00342889">
        <w:rPr>
          <w:rFonts w:ascii="Arial" w:hAnsi="Arial" w:cs="Arial"/>
          <w:b/>
          <w:lang w:val="ro-RO"/>
        </w:rPr>
        <w:t>Proprietati:</w:t>
      </w:r>
      <w:r w:rsidRPr="00342889">
        <w:rPr>
          <w:rFonts w:ascii="Arial" w:hAnsi="Arial" w:cs="Arial"/>
          <w:lang w:val="ro-RO"/>
        </w:rPr>
        <w:t xml:space="preserve"> </w:t>
      </w:r>
      <w:r w:rsidR="00342889" w:rsidRPr="00342889">
        <w:rPr>
          <w:rFonts w:ascii="Arial" w:hAnsi="Arial" w:cs="Arial"/>
          <w:lang w:val="ro-RO" w:eastAsia="ar-SA"/>
        </w:rPr>
        <w:t>G</w:t>
      </w:r>
      <w:r w:rsidRPr="00342889">
        <w:rPr>
          <w:rFonts w:ascii="Arial" w:hAnsi="Arial" w:cs="Arial"/>
          <w:lang w:val="ro-RO" w:eastAsia="ar-SA"/>
        </w:rPr>
        <w:t xml:space="preserve">aranteaza protectie speciala de tip Long Life pentru: cupru, aluminiu, otel, aliaje, polietilena, polipropilena si garnituri. </w:t>
      </w:r>
      <w:r w:rsidRPr="00342889">
        <w:rPr>
          <w:rFonts w:ascii="Arial" w:hAnsi="Arial" w:cs="Arial"/>
          <w:lang w:val="ro-RO"/>
        </w:rPr>
        <w:t xml:space="preserve">Asigura o buna functionare a pompelor de circulatie din instalatie. </w:t>
      </w:r>
      <w:r w:rsidR="00400C07" w:rsidRPr="00342889">
        <w:rPr>
          <w:rFonts w:ascii="Arial" w:hAnsi="Arial" w:cs="Arial"/>
          <w:lang w:val="ro-RO"/>
        </w:rPr>
        <w:t>Contine inhibitori de electrocoroziune</w:t>
      </w:r>
      <w:r w:rsidRPr="00342889">
        <w:rPr>
          <w:rFonts w:ascii="Arial" w:hAnsi="Arial" w:cs="Arial"/>
          <w:lang w:val="ro-RO"/>
        </w:rPr>
        <w:t xml:space="preserve">. </w:t>
      </w:r>
      <w:r w:rsidR="00400C07" w:rsidRPr="00342889">
        <w:rPr>
          <w:rFonts w:ascii="Arial" w:hAnsi="Arial" w:cs="Arial"/>
          <w:lang w:val="ro-RO"/>
        </w:rPr>
        <w:t>Prelungest</w:t>
      </w:r>
      <w:r w:rsidRPr="00342889">
        <w:rPr>
          <w:rFonts w:ascii="Arial" w:hAnsi="Arial" w:cs="Arial"/>
          <w:lang w:val="ro-RO"/>
        </w:rPr>
        <w:t xml:space="preserve">e durata de viata a instalatiei. </w:t>
      </w:r>
      <w:r w:rsidR="00400C07" w:rsidRPr="00342889">
        <w:rPr>
          <w:rFonts w:ascii="Arial" w:hAnsi="Arial" w:cs="Arial"/>
          <w:lang w:val="ro-RO"/>
        </w:rPr>
        <w:t>Creste punctul de fierbere al apei din</w:t>
      </w:r>
      <w:r w:rsidRPr="00342889">
        <w:rPr>
          <w:rFonts w:ascii="Arial" w:hAnsi="Arial" w:cs="Arial"/>
          <w:lang w:val="ro-RO"/>
        </w:rPr>
        <w:t xml:space="preserve"> instalatie. </w:t>
      </w:r>
      <w:r w:rsidR="00400C07" w:rsidRPr="00342889">
        <w:rPr>
          <w:rFonts w:ascii="Arial" w:eastAsia="Times New Roman" w:hAnsi="Arial" w:cs="Arial"/>
          <w:lang w:val="ro-RO"/>
        </w:rPr>
        <w:t>Asigura coeficient optim de transfer termic</w:t>
      </w:r>
      <w:r w:rsidRPr="00342889">
        <w:rPr>
          <w:rFonts w:ascii="Arial" w:eastAsia="Times New Roman" w:hAnsi="Arial" w:cs="Arial"/>
          <w:lang w:val="ro-RO"/>
        </w:rPr>
        <w:t xml:space="preserve">. </w:t>
      </w:r>
      <w:r w:rsidR="00400C07" w:rsidRPr="00342889">
        <w:rPr>
          <w:rFonts w:ascii="Arial" w:hAnsi="Arial" w:cs="Arial"/>
          <w:lang w:val="ro-RO"/>
        </w:rPr>
        <w:t>Deosebit de stabil d</w:t>
      </w:r>
      <w:r w:rsidRPr="00342889">
        <w:rPr>
          <w:rFonts w:ascii="Arial" w:hAnsi="Arial" w:cs="Arial"/>
          <w:lang w:val="ro-RO"/>
        </w:rPr>
        <w:t xml:space="preserve">in punct de vedere termo-chimic. </w:t>
      </w:r>
      <w:r w:rsidR="00400C07" w:rsidRPr="00342889">
        <w:rPr>
          <w:rFonts w:ascii="Arial" w:hAnsi="Arial" w:cs="Arial"/>
          <w:lang w:val="ro-RO"/>
        </w:rPr>
        <w:t>Reduce costurile de exploatarea cu energie si combustibil</w:t>
      </w:r>
      <w:r w:rsidRPr="00342889">
        <w:rPr>
          <w:rFonts w:ascii="Arial" w:hAnsi="Arial" w:cs="Arial"/>
          <w:lang w:val="ro-RO"/>
        </w:rPr>
        <w:t xml:space="preserve">. </w:t>
      </w:r>
      <w:r w:rsidR="00400C07" w:rsidRPr="00342889">
        <w:rPr>
          <w:rFonts w:ascii="Arial" w:hAnsi="Arial" w:cs="Arial"/>
          <w:lang w:val="ro-RO"/>
        </w:rPr>
        <w:t>Protejea</w:t>
      </w:r>
      <w:r w:rsidRPr="00342889">
        <w:rPr>
          <w:rFonts w:ascii="Arial" w:hAnsi="Arial" w:cs="Arial"/>
          <w:lang w:val="ro-RO"/>
        </w:rPr>
        <w:t xml:space="preserve">za instalatia la supraincalzire. </w:t>
      </w:r>
      <w:r w:rsidR="00400C07" w:rsidRPr="00342889">
        <w:rPr>
          <w:rFonts w:ascii="Arial" w:hAnsi="Arial" w:cs="Arial"/>
          <w:lang w:val="ro-RO"/>
        </w:rPr>
        <w:t>Efect floculant si antialga</w:t>
      </w:r>
      <w:r w:rsidRPr="00342889">
        <w:rPr>
          <w:rFonts w:ascii="Arial" w:hAnsi="Arial" w:cs="Arial"/>
          <w:lang w:val="ro-RO"/>
        </w:rPr>
        <w:t xml:space="preserve">. </w:t>
      </w:r>
      <w:r w:rsidR="00400C07" w:rsidRPr="00342889">
        <w:rPr>
          <w:rFonts w:ascii="Arial" w:hAnsi="Arial" w:cs="Arial"/>
          <w:lang w:val="ro-RO"/>
        </w:rPr>
        <w:t>Pachet de agenti anticrusta</w:t>
      </w:r>
      <w:r w:rsidRPr="00342889">
        <w:rPr>
          <w:rFonts w:ascii="Arial" w:hAnsi="Arial" w:cs="Arial"/>
          <w:lang w:val="ro-RO"/>
        </w:rPr>
        <w:t xml:space="preserve">. </w:t>
      </w:r>
      <w:r w:rsidR="00400C07" w:rsidRPr="00342889">
        <w:rPr>
          <w:rFonts w:ascii="Arial" w:hAnsi="Arial" w:cs="Arial"/>
          <w:lang w:val="ro-RO"/>
        </w:rPr>
        <w:t>Pr</w:t>
      </w:r>
      <w:r w:rsidRPr="00342889">
        <w:rPr>
          <w:rFonts w:ascii="Arial" w:hAnsi="Arial" w:cs="Arial"/>
          <w:lang w:val="ro-RO"/>
        </w:rPr>
        <w:t xml:space="preserve">evine imbatranirea garniturilor. </w:t>
      </w:r>
      <w:r w:rsidRPr="00342889">
        <w:rPr>
          <w:rFonts w:ascii="Arial" w:hAnsi="Arial" w:cs="Arial"/>
          <w:lang w:val="ro-RO" w:eastAsia="ar-SA"/>
        </w:rPr>
        <w:t xml:space="preserve">Asigura functioneaza in conditii extreme. </w:t>
      </w:r>
      <w:r w:rsidR="00400C07" w:rsidRPr="00342889">
        <w:rPr>
          <w:rFonts w:ascii="Arial" w:hAnsi="Arial" w:cs="Arial"/>
          <w:lang w:val="ro-RO"/>
        </w:rPr>
        <w:t>Asigura o fluiditate crescuta a agentului termic la temperaturi joase</w:t>
      </w:r>
      <w:r w:rsidRPr="00342889">
        <w:rPr>
          <w:rFonts w:ascii="Arial" w:hAnsi="Arial" w:cs="Arial"/>
          <w:lang w:val="ro-RO"/>
        </w:rPr>
        <w:t xml:space="preserve">. </w:t>
      </w:r>
      <w:r w:rsidR="00400C07" w:rsidRPr="00342889">
        <w:rPr>
          <w:rFonts w:ascii="Arial" w:hAnsi="Arial" w:cs="Arial"/>
          <w:lang w:val="ro-RO"/>
        </w:rPr>
        <w:t>Protectie impotriva inghetului, in functie de concentratia aleasa</w:t>
      </w:r>
      <w:r w:rsidRPr="00342889">
        <w:rPr>
          <w:rFonts w:ascii="Arial" w:hAnsi="Arial" w:cs="Arial"/>
          <w:lang w:val="ro-RO"/>
        </w:rPr>
        <w:t xml:space="preserve">. </w:t>
      </w:r>
      <w:r w:rsidR="00400C07" w:rsidRPr="00342889">
        <w:rPr>
          <w:rFonts w:ascii="Arial" w:hAnsi="Arial" w:cs="Arial"/>
          <w:lang w:val="ro-RO"/>
        </w:rPr>
        <w:t>Protejeaza radiat</w:t>
      </w:r>
      <w:r w:rsidRPr="00342889">
        <w:rPr>
          <w:rFonts w:ascii="Arial" w:hAnsi="Arial" w:cs="Arial"/>
          <w:lang w:val="ro-RO"/>
        </w:rPr>
        <w:t xml:space="preserve">oarele din otel si din aluminiu. </w:t>
      </w:r>
      <w:r w:rsidR="00400C07" w:rsidRPr="00342889">
        <w:rPr>
          <w:rFonts w:ascii="Arial" w:hAnsi="Arial" w:cs="Arial"/>
          <w:lang w:val="ro-RO"/>
        </w:rPr>
        <w:t>Excel</w:t>
      </w:r>
      <w:r w:rsidRPr="00342889">
        <w:rPr>
          <w:rFonts w:ascii="Arial" w:hAnsi="Arial" w:cs="Arial"/>
          <w:lang w:val="ro-RO"/>
        </w:rPr>
        <w:t xml:space="preserve">ente caracteristici antispumare. </w:t>
      </w:r>
      <w:r w:rsidR="00400C07" w:rsidRPr="00342889">
        <w:rPr>
          <w:rFonts w:ascii="Arial" w:hAnsi="Arial" w:cs="Arial"/>
          <w:lang w:val="ro-RO"/>
        </w:rPr>
        <w:t>Calitatea glicolilor si a pachetelor de aditivi utilizati in productie sunt fabricati in Germania si garanteaza protectia optima a pompelor</w:t>
      </w:r>
      <w:r w:rsidR="00526655" w:rsidRPr="00342889">
        <w:rPr>
          <w:rFonts w:ascii="Arial" w:hAnsi="Arial" w:cs="Arial"/>
          <w:lang w:val="ro-RO"/>
        </w:rPr>
        <w:t xml:space="preserve"> si instalatiilor; </w:t>
      </w:r>
      <w:r w:rsidR="00400C07" w:rsidRPr="00342889">
        <w:rPr>
          <w:rFonts w:ascii="Arial" w:hAnsi="Arial" w:cs="Arial"/>
          <w:b/>
          <w:lang w:val="ro-RO"/>
        </w:rPr>
        <w:t>Termen de utilizare garantat</w:t>
      </w:r>
      <w:r w:rsidRPr="00342889">
        <w:rPr>
          <w:rFonts w:ascii="Arial" w:hAnsi="Arial" w:cs="Arial"/>
          <w:b/>
          <w:lang w:val="ro-RO"/>
        </w:rPr>
        <w:t>:</w:t>
      </w:r>
      <w:r w:rsidR="00400C07" w:rsidRPr="00342889">
        <w:rPr>
          <w:rFonts w:ascii="Arial" w:hAnsi="Arial" w:cs="Arial"/>
          <w:lang w:val="ro-RO"/>
        </w:rPr>
        <w:t xml:space="preserve">  </w:t>
      </w:r>
      <w:r w:rsidR="00400C07" w:rsidRPr="00342889">
        <w:rPr>
          <w:rFonts w:ascii="Arial" w:hAnsi="Arial" w:cs="Arial"/>
          <w:b/>
          <w:lang w:val="ro-RO"/>
        </w:rPr>
        <w:t xml:space="preserve">8 ani. </w:t>
      </w:r>
      <w:r w:rsidR="002A110B" w:rsidRPr="00342889">
        <w:rPr>
          <w:rFonts w:ascii="Arial" w:hAnsi="Arial" w:cs="Arial"/>
          <w:b/>
          <w:lang w:val="ro-RO"/>
        </w:rPr>
        <w:t xml:space="preserve"> </w:t>
      </w:r>
      <w:r w:rsidR="002A110B" w:rsidRPr="00342889">
        <w:rPr>
          <w:rFonts w:ascii="Arial" w:hAnsi="Arial" w:cs="Arial"/>
          <w:lang w:val="ro-RO"/>
        </w:rPr>
        <w:t>Certificat de calitate ISO 9001:2015 Nr. 04785.</w:t>
      </w:r>
    </w:p>
    <w:p w:rsidR="00AC5741" w:rsidRPr="00342889" w:rsidRDefault="00AC5741" w:rsidP="00671582">
      <w:pPr>
        <w:spacing w:after="0" w:line="276" w:lineRule="auto"/>
        <w:jc w:val="both"/>
        <w:rPr>
          <w:rFonts w:ascii="Arial" w:hAnsi="Arial" w:cs="Arial"/>
          <w:lang w:val="ro-RO"/>
        </w:rPr>
      </w:pPr>
      <w:r w:rsidRPr="00342889">
        <w:rPr>
          <w:rFonts w:ascii="Arial" w:hAnsi="Arial" w:cs="Arial"/>
          <w:lang w:val="ro-RO"/>
        </w:rPr>
        <w:t>Contine</w:t>
      </w:r>
      <w:r w:rsidR="00340154" w:rsidRPr="00342889">
        <w:rPr>
          <w:rFonts w:ascii="Arial" w:hAnsi="Arial" w:cs="Arial"/>
          <w:lang w:val="ro-RO"/>
        </w:rPr>
        <w:t xml:space="preserve">: </w:t>
      </w:r>
      <w:r w:rsidR="00CB6457" w:rsidRPr="00342889">
        <w:rPr>
          <w:rFonts w:ascii="Arial" w:hAnsi="Arial" w:cs="Arial"/>
          <w:lang w:val="ro-RO"/>
        </w:rPr>
        <w:t xml:space="preserve">ethyleneglycol </w:t>
      </w:r>
      <w:r w:rsidR="00340154" w:rsidRPr="00342889">
        <w:rPr>
          <w:rFonts w:ascii="Arial" w:hAnsi="Arial" w:cs="Arial"/>
          <w:lang w:val="ro-RO"/>
        </w:rPr>
        <w:t>de inalta puritate, inhibitor de coroziune organici de ultima generatie, stabilizatori pH, colorant. A se pastra ferit de razele solare.</w:t>
      </w:r>
    </w:p>
    <w:p w:rsidR="005A77F6" w:rsidRPr="00342889" w:rsidRDefault="005A77F6" w:rsidP="00526655">
      <w:pPr>
        <w:spacing w:line="276" w:lineRule="auto"/>
        <w:jc w:val="both"/>
        <w:rPr>
          <w:rFonts w:ascii="Arial" w:hAnsi="Arial" w:cs="Arial"/>
          <w:b/>
          <w:lang w:val="ro-RO"/>
        </w:rPr>
      </w:pPr>
      <w:r w:rsidRPr="00342889">
        <w:rPr>
          <w:rFonts w:ascii="Arial" w:hAnsi="Arial" w:cs="Arial"/>
          <w:b/>
          <w:lang w:val="ro-RO"/>
        </w:rPr>
        <w:t>UZ PROFESIONAL</w:t>
      </w:r>
    </w:p>
    <w:p w:rsidR="00532F39" w:rsidRPr="0081461E" w:rsidRDefault="00836245" w:rsidP="0081461E">
      <w:pPr>
        <w:spacing w:line="276" w:lineRule="auto"/>
        <w:jc w:val="both"/>
        <w:rPr>
          <w:rFonts w:ascii="Arial" w:hAnsi="Arial" w:cs="Arial"/>
          <w:lang w:val="ro-RO"/>
        </w:rPr>
      </w:pPr>
      <w:r w:rsidRPr="00342889">
        <w:rPr>
          <w:rFonts w:ascii="Arial" w:hAnsi="Arial" w:cs="Arial"/>
          <w:lang w:val="ro-RO"/>
        </w:rPr>
        <w:t>Contine: 10Kg</w:t>
      </w:r>
      <w:r w:rsidR="005A4A71" w:rsidRPr="00342889">
        <w:rPr>
          <w:rFonts w:ascii="Arial" w:hAnsi="Arial" w:cs="Arial"/>
          <w:lang w:val="ro-RO"/>
        </w:rPr>
        <w:t xml:space="preserve">                                                                  </w:t>
      </w:r>
      <w:bookmarkStart w:id="0" w:name="_GoBack"/>
      <w:bookmarkEnd w:id="0"/>
    </w:p>
    <w:p w:rsidR="00135C5C" w:rsidRPr="00342889" w:rsidRDefault="00135C5C" w:rsidP="0052665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lang w:val="ro-RO"/>
        </w:rPr>
      </w:pPr>
      <w:r w:rsidRPr="00342889">
        <w:rPr>
          <w:rFonts w:ascii="Arial" w:hAnsi="Arial" w:cs="Arial"/>
          <w:lang w:val="ro-RO"/>
        </w:rPr>
        <w:t>Fara silicati</w:t>
      </w:r>
    </w:p>
    <w:p w:rsidR="00526655" w:rsidRPr="00342889" w:rsidRDefault="00526655" w:rsidP="0052665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lang w:val="ro-RO"/>
        </w:rPr>
      </w:pPr>
      <w:r w:rsidRPr="00342889">
        <w:rPr>
          <w:rFonts w:ascii="Arial" w:hAnsi="Arial" w:cs="Arial"/>
          <w:lang w:val="ro-RO"/>
        </w:rPr>
        <w:t>Fara borax</w:t>
      </w:r>
    </w:p>
    <w:p w:rsidR="00400C07" w:rsidRPr="00342889" w:rsidRDefault="00342889" w:rsidP="00400C07">
      <w:pPr>
        <w:spacing w:line="276" w:lineRule="auto"/>
        <w:jc w:val="both"/>
        <w:rPr>
          <w:rFonts w:ascii="Arial" w:hAnsi="Arial" w:cs="Arial"/>
          <w:b/>
          <w:lang w:val="ro-RO"/>
        </w:rPr>
      </w:pPr>
      <w:r w:rsidRPr="00342889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-344805</wp:posOffset>
            </wp:positionV>
            <wp:extent cx="1476375" cy="1635369"/>
            <wp:effectExtent l="0" t="0" r="0" b="3175"/>
            <wp:wrapNone/>
            <wp:docPr id="2" name="Picture 2" descr="\\192.168.100.250\George\ETICHETE SI PUNGI\Semne Pictograme Securitate Pericol\Logo Sigla Royal Cert 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0.250\George\ETICHETE SI PUNGI\Semne Pictograme Securitate Pericol\Logo Sigla Royal Cert 20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3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1165"/>
        <w:gridCol w:w="1164"/>
      </w:tblGrid>
      <w:tr w:rsidR="005A77F6" w:rsidRPr="00342889" w:rsidTr="00CB6457">
        <w:tc>
          <w:tcPr>
            <w:tcW w:w="1017" w:type="dxa"/>
            <w:shd w:val="clear" w:color="auto" w:fill="auto"/>
          </w:tcPr>
          <w:p w:rsidR="005A77F6" w:rsidRPr="00342889" w:rsidRDefault="005A77F6" w:rsidP="005A77F6">
            <w:pPr>
              <w:spacing w:after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342889">
              <w:rPr>
                <w:rFonts w:ascii="Arial" w:hAnsi="Arial" w:cs="Arial"/>
                <w:lang w:val="ro-RO"/>
              </w:rPr>
              <w:t xml:space="preserve">Antigel </w:t>
            </w:r>
          </w:p>
          <w:p w:rsidR="005A77F6" w:rsidRPr="00342889" w:rsidRDefault="005A77F6" w:rsidP="005A77F6">
            <w:pPr>
              <w:spacing w:after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342889">
              <w:rPr>
                <w:rFonts w:ascii="Arial" w:hAnsi="Arial" w:cs="Arial"/>
                <w:lang w:val="ro-RO"/>
              </w:rPr>
              <w:t>(volum)</w:t>
            </w:r>
          </w:p>
        </w:tc>
        <w:tc>
          <w:tcPr>
            <w:tcW w:w="1165" w:type="dxa"/>
            <w:shd w:val="clear" w:color="auto" w:fill="auto"/>
          </w:tcPr>
          <w:p w:rsidR="005A77F6" w:rsidRPr="00342889" w:rsidRDefault="005A77F6" w:rsidP="005A77F6">
            <w:pPr>
              <w:spacing w:after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342889">
              <w:rPr>
                <w:rFonts w:ascii="Arial" w:hAnsi="Arial" w:cs="Arial"/>
                <w:lang w:val="ro-RO"/>
              </w:rPr>
              <w:t xml:space="preserve">Apa </w:t>
            </w:r>
          </w:p>
          <w:p w:rsidR="005A77F6" w:rsidRPr="00342889" w:rsidRDefault="005A77F6" w:rsidP="005A77F6">
            <w:pPr>
              <w:spacing w:after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342889">
              <w:rPr>
                <w:rFonts w:ascii="Arial" w:hAnsi="Arial" w:cs="Arial"/>
                <w:lang w:val="ro-RO"/>
              </w:rPr>
              <w:t>(volum)</w:t>
            </w:r>
          </w:p>
        </w:tc>
        <w:tc>
          <w:tcPr>
            <w:tcW w:w="1164" w:type="dxa"/>
            <w:shd w:val="clear" w:color="auto" w:fill="auto"/>
          </w:tcPr>
          <w:p w:rsidR="005A77F6" w:rsidRPr="00342889" w:rsidRDefault="005A77F6" w:rsidP="005A77F6">
            <w:pPr>
              <w:spacing w:after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342889">
              <w:rPr>
                <w:rFonts w:ascii="Arial" w:hAnsi="Arial" w:cs="Arial"/>
                <w:lang w:val="ro-RO"/>
              </w:rPr>
              <w:t xml:space="preserve">Protectie </w:t>
            </w:r>
          </w:p>
          <w:p w:rsidR="005A77F6" w:rsidRPr="00342889" w:rsidRDefault="005A77F6" w:rsidP="005A77F6">
            <w:pPr>
              <w:spacing w:after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342889">
              <w:rPr>
                <w:rFonts w:ascii="Arial" w:hAnsi="Arial" w:cs="Arial"/>
                <w:lang w:val="ro-RO"/>
              </w:rPr>
              <w:t>(ºC)</w:t>
            </w:r>
          </w:p>
        </w:tc>
      </w:tr>
      <w:tr w:rsidR="005A77F6" w:rsidRPr="00342889" w:rsidTr="00CB6457">
        <w:trPr>
          <w:trHeight w:val="413"/>
        </w:trPr>
        <w:tc>
          <w:tcPr>
            <w:tcW w:w="1017" w:type="dxa"/>
            <w:shd w:val="clear" w:color="auto" w:fill="auto"/>
            <w:vAlign w:val="center"/>
          </w:tcPr>
          <w:p w:rsidR="005A77F6" w:rsidRPr="00342889" w:rsidRDefault="005A77F6" w:rsidP="00CB6457">
            <w:pPr>
              <w:spacing w:after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342889">
              <w:rPr>
                <w:rFonts w:ascii="Arial" w:hAnsi="Arial" w:cs="Arial"/>
                <w:lang w:val="ro-RO"/>
              </w:rPr>
              <w:t>1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5A77F6" w:rsidRPr="00342889" w:rsidRDefault="005A77F6" w:rsidP="00CB6457">
            <w:pPr>
              <w:spacing w:after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342889">
              <w:rPr>
                <w:rFonts w:ascii="Arial" w:hAnsi="Arial" w:cs="Arial"/>
                <w:lang w:val="ro-RO"/>
              </w:rPr>
              <w:t>--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A77F6" w:rsidRPr="00342889" w:rsidRDefault="005A77F6" w:rsidP="00CB6457">
            <w:pPr>
              <w:spacing w:after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342889">
              <w:rPr>
                <w:rFonts w:ascii="Arial" w:hAnsi="Arial" w:cs="Arial"/>
                <w:lang w:val="ro-RO"/>
              </w:rPr>
              <w:t>-60 ºC</w:t>
            </w:r>
          </w:p>
        </w:tc>
      </w:tr>
      <w:tr w:rsidR="005A77F6" w:rsidRPr="00342889" w:rsidTr="00CB6457">
        <w:trPr>
          <w:trHeight w:val="440"/>
        </w:trPr>
        <w:tc>
          <w:tcPr>
            <w:tcW w:w="1017" w:type="dxa"/>
            <w:shd w:val="clear" w:color="auto" w:fill="auto"/>
            <w:vAlign w:val="center"/>
          </w:tcPr>
          <w:p w:rsidR="005A77F6" w:rsidRPr="00342889" w:rsidRDefault="005A77F6" w:rsidP="00CB6457">
            <w:pPr>
              <w:spacing w:after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342889">
              <w:rPr>
                <w:rFonts w:ascii="Arial" w:hAnsi="Arial" w:cs="Arial"/>
                <w:lang w:val="ro-RO"/>
              </w:rPr>
              <w:t>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5A77F6" w:rsidRPr="00342889" w:rsidRDefault="005A77F6" w:rsidP="00CB6457">
            <w:pPr>
              <w:spacing w:after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342889">
              <w:rPr>
                <w:rFonts w:ascii="Arial" w:hAnsi="Arial" w:cs="Arial"/>
                <w:lang w:val="ro-RO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A77F6" w:rsidRPr="00342889" w:rsidRDefault="005A77F6" w:rsidP="00CB6457">
            <w:pPr>
              <w:spacing w:after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342889">
              <w:rPr>
                <w:rFonts w:ascii="Arial" w:hAnsi="Arial" w:cs="Arial"/>
                <w:lang w:val="ro-RO"/>
              </w:rPr>
              <w:t>-37 ºC</w:t>
            </w:r>
          </w:p>
        </w:tc>
      </w:tr>
      <w:tr w:rsidR="005A77F6" w:rsidRPr="00342889" w:rsidTr="00CB6457">
        <w:trPr>
          <w:trHeight w:val="440"/>
        </w:trPr>
        <w:tc>
          <w:tcPr>
            <w:tcW w:w="1017" w:type="dxa"/>
            <w:shd w:val="clear" w:color="auto" w:fill="auto"/>
            <w:vAlign w:val="center"/>
          </w:tcPr>
          <w:p w:rsidR="005A77F6" w:rsidRPr="00342889" w:rsidRDefault="005A77F6" w:rsidP="00CB6457">
            <w:pPr>
              <w:spacing w:after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342889">
              <w:rPr>
                <w:rFonts w:ascii="Arial" w:hAnsi="Arial" w:cs="Arial"/>
                <w:lang w:val="ro-RO"/>
              </w:rPr>
              <w:t>1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5A77F6" w:rsidRPr="00342889" w:rsidRDefault="005A77F6" w:rsidP="00CB6457">
            <w:pPr>
              <w:spacing w:after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342889">
              <w:rPr>
                <w:rFonts w:ascii="Arial" w:hAnsi="Arial" w:cs="Arial"/>
                <w:lang w:val="ro-RO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A77F6" w:rsidRPr="00342889" w:rsidRDefault="005A77F6" w:rsidP="00CB6457">
            <w:pPr>
              <w:spacing w:after="0" w:line="276" w:lineRule="auto"/>
              <w:jc w:val="center"/>
              <w:rPr>
                <w:rFonts w:ascii="Arial" w:hAnsi="Arial" w:cs="Arial"/>
                <w:lang w:val="ro-RO"/>
              </w:rPr>
            </w:pPr>
            <w:r w:rsidRPr="00342889">
              <w:rPr>
                <w:rFonts w:ascii="Arial" w:hAnsi="Arial" w:cs="Arial"/>
                <w:lang w:val="ro-RO"/>
              </w:rPr>
              <w:t>-20 ºC</w:t>
            </w:r>
          </w:p>
        </w:tc>
      </w:tr>
      <w:tr w:rsidR="005A77F6" w:rsidRPr="00342889" w:rsidTr="00CB6457">
        <w:trPr>
          <w:trHeight w:val="440"/>
        </w:trPr>
        <w:tc>
          <w:tcPr>
            <w:tcW w:w="1017" w:type="dxa"/>
            <w:shd w:val="clear" w:color="auto" w:fill="auto"/>
            <w:vAlign w:val="center"/>
          </w:tcPr>
          <w:p w:rsidR="005A77F6" w:rsidRPr="00342889" w:rsidRDefault="005A77F6" w:rsidP="00CB6457">
            <w:pPr>
              <w:spacing w:after="0" w:line="276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342889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5A77F6" w:rsidRPr="00342889" w:rsidRDefault="005A77F6" w:rsidP="00CB6457">
            <w:pPr>
              <w:spacing w:after="0" w:line="276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342889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A77F6" w:rsidRPr="00342889" w:rsidRDefault="005A77F6" w:rsidP="00CB6457">
            <w:pPr>
              <w:spacing w:after="0" w:line="276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342889">
              <w:rPr>
                <w:rFonts w:ascii="Arial" w:hAnsi="Arial" w:cs="Arial"/>
                <w:b/>
                <w:lang w:val="ro-RO"/>
              </w:rPr>
              <w:t>-12</w:t>
            </w:r>
            <w:r w:rsidRPr="00342889">
              <w:rPr>
                <w:rFonts w:ascii="Arial" w:hAnsi="Arial" w:cs="Arial"/>
                <w:lang w:val="ro-RO"/>
              </w:rPr>
              <w:t xml:space="preserve"> ºC</w:t>
            </w:r>
          </w:p>
        </w:tc>
      </w:tr>
    </w:tbl>
    <w:p w:rsidR="00342889" w:rsidRDefault="0081461E" w:rsidP="005A4A71">
      <w:pPr>
        <w:rPr>
          <w:rFonts w:ascii="Arial" w:hAnsi="Arial" w:cs="Arial"/>
          <w:lang w:val="ro-RO"/>
        </w:rPr>
      </w:pPr>
      <w:r w:rsidRPr="00342889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896620</wp:posOffset>
            </wp:positionV>
            <wp:extent cx="5505450" cy="5772150"/>
            <wp:effectExtent l="0" t="0" r="0" b="0"/>
            <wp:wrapNone/>
            <wp:docPr id="1" name="Picture 1" descr="\\192.168.100.250\George\ETICHETE SI PUNGI\Semne Pictograme Securitate Pericol\25 ani de performanta Kyn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0.250\George\ETICHETE SI PUNGI\Semne Pictograme Securitate Pericol\25 ani de performanta Kyni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4A71" w:rsidRPr="00342889">
        <w:rPr>
          <w:rFonts w:ascii="Arial" w:hAnsi="Arial" w:cs="Arial"/>
          <w:lang w:val="ro-RO"/>
        </w:rPr>
        <w:t>H302 – Nociv în caz de înghiţire. H373 – Poate provoca leziuni ale organelor în caz de expunere prelungită sau repetată P260 – Nu inspiraţi</w:t>
      </w:r>
      <w:r w:rsidR="00CB6457" w:rsidRPr="00342889">
        <w:rPr>
          <w:rFonts w:ascii="Arial" w:hAnsi="Arial" w:cs="Arial"/>
          <w:lang w:val="ro-RO"/>
        </w:rPr>
        <w:t xml:space="preserve"> </w:t>
      </w:r>
      <w:r w:rsidR="005A4A71" w:rsidRPr="00342889">
        <w:rPr>
          <w:rFonts w:ascii="Arial" w:hAnsi="Arial" w:cs="Arial"/>
          <w:lang w:val="ro-RO"/>
        </w:rPr>
        <w:t>praful</w:t>
      </w:r>
      <w:r w:rsidR="00CB6457" w:rsidRPr="00342889">
        <w:rPr>
          <w:rFonts w:ascii="Arial" w:hAnsi="Arial" w:cs="Arial"/>
          <w:lang w:val="ro-RO"/>
        </w:rPr>
        <w:t xml:space="preserve"> </w:t>
      </w:r>
      <w:r w:rsidR="005A4A71" w:rsidRPr="00342889">
        <w:rPr>
          <w:rFonts w:ascii="Arial" w:hAnsi="Arial" w:cs="Arial"/>
          <w:lang w:val="ro-RO"/>
        </w:rPr>
        <w:t>/fumul</w:t>
      </w:r>
      <w:r w:rsidR="00CB6457" w:rsidRPr="00342889">
        <w:rPr>
          <w:rFonts w:ascii="Arial" w:hAnsi="Arial" w:cs="Arial"/>
          <w:lang w:val="ro-RO"/>
        </w:rPr>
        <w:t xml:space="preserve"> </w:t>
      </w:r>
      <w:r w:rsidR="005A4A71" w:rsidRPr="00342889">
        <w:rPr>
          <w:rFonts w:ascii="Arial" w:hAnsi="Arial" w:cs="Arial"/>
          <w:lang w:val="ro-RO"/>
        </w:rPr>
        <w:t>/gazul</w:t>
      </w:r>
      <w:r w:rsidR="00CB6457" w:rsidRPr="00342889">
        <w:rPr>
          <w:rFonts w:ascii="Arial" w:hAnsi="Arial" w:cs="Arial"/>
          <w:lang w:val="ro-RO"/>
        </w:rPr>
        <w:t xml:space="preserve"> </w:t>
      </w:r>
      <w:r w:rsidR="005A4A71" w:rsidRPr="00342889">
        <w:rPr>
          <w:rFonts w:ascii="Arial" w:hAnsi="Arial" w:cs="Arial"/>
          <w:lang w:val="ro-RO"/>
        </w:rPr>
        <w:t>/ceața</w:t>
      </w:r>
      <w:r w:rsidR="00CB6457" w:rsidRPr="00342889">
        <w:rPr>
          <w:rFonts w:ascii="Arial" w:hAnsi="Arial" w:cs="Arial"/>
          <w:lang w:val="ro-RO"/>
        </w:rPr>
        <w:t xml:space="preserve"> </w:t>
      </w:r>
      <w:r w:rsidR="005A4A71" w:rsidRPr="00342889">
        <w:rPr>
          <w:rFonts w:ascii="Arial" w:hAnsi="Arial" w:cs="Arial"/>
          <w:lang w:val="ro-RO"/>
        </w:rPr>
        <w:t>/vaporii</w:t>
      </w:r>
      <w:r w:rsidR="00CB6457" w:rsidRPr="00342889">
        <w:rPr>
          <w:rFonts w:ascii="Arial" w:hAnsi="Arial" w:cs="Arial"/>
          <w:lang w:val="ro-RO"/>
        </w:rPr>
        <w:t xml:space="preserve"> </w:t>
      </w:r>
      <w:r w:rsidR="005A4A71" w:rsidRPr="00342889">
        <w:rPr>
          <w:rFonts w:ascii="Arial" w:hAnsi="Arial" w:cs="Arial"/>
          <w:lang w:val="ro-RO"/>
        </w:rPr>
        <w:t xml:space="preserve">/spray-ul. P270 – </w:t>
      </w:r>
      <w:r w:rsidR="005A4A71" w:rsidRPr="00342889">
        <w:rPr>
          <w:rFonts w:ascii="Arial" w:hAnsi="Arial" w:cs="Arial"/>
          <w:lang w:val="ro-RO"/>
        </w:rPr>
        <w:lastRenderedPageBreak/>
        <w:t>A nu mânca, bea sau fuma în timpul utilizării produsului. P264 – Spălaţi-vă temeinic cu apa si sapun după utilizare.</w:t>
      </w:r>
      <w:r w:rsidR="00CB6457" w:rsidRPr="00342889">
        <w:rPr>
          <w:rFonts w:ascii="Arial" w:hAnsi="Arial" w:cs="Arial"/>
          <w:lang w:val="ro-RO"/>
        </w:rPr>
        <w:t xml:space="preserve"> </w:t>
      </w:r>
      <w:r w:rsidR="005A4A71" w:rsidRPr="00342889">
        <w:rPr>
          <w:rFonts w:ascii="Arial" w:hAnsi="Arial" w:cs="Arial"/>
          <w:lang w:val="ro-RO"/>
        </w:rPr>
        <w:t>P301 + P330 + P331 – ÎN CAZ DE ÎNGHIŢIRE: clătiţi gura. NU provocaţi voma. P501 – Aruncaţi conţinutul/recipientul la o instalatie de eliminare a deseurilor periculoase</w:t>
      </w:r>
      <w:r w:rsidR="00CB6457" w:rsidRPr="00342889">
        <w:rPr>
          <w:rFonts w:ascii="Arial" w:hAnsi="Arial" w:cs="Arial"/>
          <w:lang w:val="ro-RO"/>
        </w:rPr>
        <w:t>.</w:t>
      </w:r>
    </w:p>
    <w:p w:rsidR="00342889" w:rsidRPr="00342889" w:rsidRDefault="00342889" w:rsidP="00342889">
      <w:pPr>
        <w:rPr>
          <w:rFonts w:ascii="Arial" w:hAnsi="Arial" w:cs="Arial"/>
          <w:lang w:val="ro-RO"/>
        </w:rPr>
      </w:pPr>
    </w:p>
    <w:p w:rsidR="00342889" w:rsidRPr="00342889" w:rsidRDefault="00342889" w:rsidP="00342889">
      <w:pPr>
        <w:rPr>
          <w:rFonts w:ascii="Arial" w:hAnsi="Arial" w:cs="Arial"/>
          <w:lang w:val="ro-RO"/>
        </w:rPr>
      </w:pPr>
    </w:p>
    <w:p w:rsidR="00342889" w:rsidRPr="00342889" w:rsidRDefault="00342889" w:rsidP="00342889">
      <w:pPr>
        <w:rPr>
          <w:rFonts w:ascii="Arial" w:hAnsi="Arial" w:cs="Arial"/>
          <w:lang w:val="ro-RO"/>
        </w:rPr>
      </w:pPr>
    </w:p>
    <w:p w:rsidR="00342889" w:rsidRDefault="00342889" w:rsidP="00342889">
      <w:pPr>
        <w:rPr>
          <w:rFonts w:ascii="Arial" w:hAnsi="Arial" w:cs="Arial"/>
          <w:lang w:val="ro-RO"/>
        </w:rPr>
      </w:pPr>
    </w:p>
    <w:p w:rsidR="00400C07" w:rsidRPr="00342889" w:rsidRDefault="00342889" w:rsidP="00342889">
      <w:pPr>
        <w:tabs>
          <w:tab w:val="left" w:pos="3090"/>
        </w:tabs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</w:r>
    </w:p>
    <w:sectPr w:rsidR="00400C07" w:rsidRPr="0034288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F2D03"/>
    <w:multiLevelType w:val="hybridMultilevel"/>
    <w:tmpl w:val="1D968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3822BD"/>
    <w:multiLevelType w:val="hybridMultilevel"/>
    <w:tmpl w:val="AD980B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6B"/>
    <w:rsid w:val="00001B06"/>
    <w:rsid w:val="000233B9"/>
    <w:rsid w:val="00040198"/>
    <w:rsid w:val="00041087"/>
    <w:rsid w:val="0006221B"/>
    <w:rsid w:val="00062414"/>
    <w:rsid w:val="000A77F4"/>
    <w:rsid w:val="000B5AA9"/>
    <w:rsid w:val="000E200C"/>
    <w:rsid w:val="000E5BAF"/>
    <w:rsid w:val="000F6773"/>
    <w:rsid w:val="000F6E5B"/>
    <w:rsid w:val="00104710"/>
    <w:rsid w:val="0011192B"/>
    <w:rsid w:val="00135C5C"/>
    <w:rsid w:val="0014266F"/>
    <w:rsid w:val="00156349"/>
    <w:rsid w:val="001972FB"/>
    <w:rsid w:val="001C2956"/>
    <w:rsid w:val="001C5F30"/>
    <w:rsid w:val="001D0B3A"/>
    <w:rsid w:val="001E2D96"/>
    <w:rsid w:val="001E2E66"/>
    <w:rsid w:val="001E4248"/>
    <w:rsid w:val="001F10D6"/>
    <w:rsid w:val="001F2B13"/>
    <w:rsid w:val="00203E19"/>
    <w:rsid w:val="00235640"/>
    <w:rsid w:val="002375A4"/>
    <w:rsid w:val="00242124"/>
    <w:rsid w:val="00252A35"/>
    <w:rsid w:val="00256758"/>
    <w:rsid w:val="002636AF"/>
    <w:rsid w:val="00267CB6"/>
    <w:rsid w:val="002761CA"/>
    <w:rsid w:val="00285520"/>
    <w:rsid w:val="00287F60"/>
    <w:rsid w:val="00295706"/>
    <w:rsid w:val="002A04DD"/>
    <w:rsid w:val="002A110B"/>
    <w:rsid w:val="002A440F"/>
    <w:rsid w:val="002B6616"/>
    <w:rsid w:val="002D0DF7"/>
    <w:rsid w:val="002E49A7"/>
    <w:rsid w:val="002E50B1"/>
    <w:rsid w:val="002E6173"/>
    <w:rsid w:val="002F0747"/>
    <w:rsid w:val="00304299"/>
    <w:rsid w:val="00326E25"/>
    <w:rsid w:val="00340154"/>
    <w:rsid w:val="00342889"/>
    <w:rsid w:val="00355171"/>
    <w:rsid w:val="00370E57"/>
    <w:rsid w:val="00382780"/>
    <w:rsid w:val="00383AB9"/>
    <w:rsid w:val="003855F4"/>
    <w:rsid w:val="00392F8A"/>
    <w:rsid w:val="003A656F"/>
    <w:rsid w:val="003B4EEF"/>
    <w:rsid w:val="003C5A14"/>
    <w:rsid w:val="003D0F6A"/>
    <w:rsid w:val="003D33A5"/>
    <w:rsid w:val="003E15BD"/>
    <w:rsid w:val="003E7C2B"/>
    <w:rsid w:val="00400C07"/>
    <w:rsid w:val="00413F3C"/>
    <w:rsid w:val="00424961"/>
    <w:rsid w:val="004342B8"/>
    <w:rsid w:val="0044022A"/>
    <w:rsid w:val="00441C61"/>
    <w:rsid w:val="00446670"/>
    <w:rsid w:val="00455B9C"/>
    <w:rsid w:val="00461DC2"/>
    <w:rsid w:val="00484AB1"/>
    <w:rsid w:val="004B4CD9"/>
    <w:rsid w:val="004B4CE3"/>
    <w:rsid w:val="004D3670"/>
    <w:rsid w:val="004E07DE"/>
    <w:rsid w:val="005168FC"/>
    <w:rsid w:val="00516CBE"/>
    <w:rsid w:val="00522FCC"/>
    <w:rsid w:val="00525710"/>
    <w:rsid w:val="00526655"/>
    <w:rsid w:val="00532F39"/>
    <w:rsid w:val="00535459"/>
    <w:rsid w:val="00545BE6"/>
    <w:rsid w:val="00570967"/>
    <w:rsid w:val="00576A07"/>
    <w:rsid w:val="005830B9"/>
    <w:rsid w:val="005A077E"/>
    <w:rsid w:val="005A4A71"/>
    <w:rsid w:val="005A68CB"/>
    <w:rsid w:val="005A77F6"/>
    <w:rsid w:val="005B7D26"/>
    <w:rsid w:val="005D4116"/>
    <w:rsid w:val="005F480A"/>
    <w:rsid w:val="005F5E14"/>
    <w:rsid w:val="00601C8E"/>
    <w:rsid w:val="00612F2D"/>
    <w:rsid w:val="006243DF"/>
    <w:rsid w:val="006313F4"/>
    <w:rsid w:val="00633545"/>
    <w:rsid w:val="0063624B"/>
    <w:rsid w:val="00671582"/>
    <w:rsid w:val="006936D1"/>
    <w:rsid w:val="006C6107"/>
    <w:rsid w:val="006E783A"/>
    <w:rsid w:val="006F2338"/>
    <w:rsid w:val="006F4740"/>
    <w:rsid w:val="006F61A9"/>
    <w:rsid w:val="007079B8"/>
    <w:rsid w:val="007154E0"/>
    <w:rsid w:val="00722C9A"/>
    <w:rsid w:val="007259DF"/>
    <w:rsid w:val="00725F92"/>
    <w:rsid w:val="007368A6"/>
    <w:rsid w:val="0074496F"/>
    <w:rsid w:val="00745318"/>
    <w:rsid w:val="00753682"/>
    <w:rsid w:val="00753C75"/>
    <w:rsid w:val="00782BED"/>
    <w:rsid w:val="00782E12"/>
    <w:rsid w:val="00792CB8"/>
    <w:rsid w:val="00792F47"/>
    <w:rsid w:val="007A7FBB"/>
    <w:rsid w:val="007E6785"/>
    <w:rsid w:val="00802C7B"/>
    <w:rsid w:val="00807A6D"/>
    <w:rsid w:val="0081461E"/>
    <w:rsid w:val="00815C0F"/>
    <w:rsid w:val="00816DA3"/>
    <w:rsid w:val="008221EC"/>
    <w:rsid w:val="00825D38"/>
    <w:rsid w:val="008334EA"/>
    <w:rsid w:val="00836245"/>
    <w:rsid w:val="0084334E"/>
    <w:rsid w:val="00843965"/>
    <w:rsid w:val="00874C2C"/>
    <w:rsid w:val="0089746C"/>
    <w:rsid w:val="008B32E3"/>
    <w:rsid w:val="008B4E2B"/>
    <w:rsid w:val="008C6FD0"/>
    <w:rsid w:val="008D2BA8"/>
    <w:rsid w:val="008F1524"/>
    <w:rsid w:val="008F1951"/>
    <w:rsid w:val="008F4ACC"/>
    <w:rsid w:val="00930FE1"/>
    <w:rsid w:val="00935DC7"/>
    <w:rsid w:val="00951779"/>
    <w:rsid w:val="00952A66"/>
    <w:rsid w:val="00956E4F"/>
    <w:rsid w:val="009703EC"/>
    <w:rsid w:val="009718E1"/>
    <w:rsid w:val="00973D12"/>
    <w:rsid w:val="00977817"/>
    <w:rsid w:val="009879FD"/>
    <w:rsid w:val="009B7500"/>
    <w:rsid w:val="009D015E"/>
    <w:rsid w:val="009D4562"/>
    <w:rsid w:val="009E41EB"/>
    <w:rsid w:val="00A0578C"/>
    <w:rsid w:val="00A20A05"/>
    <w:rsid w:val="00A30CA3"/>
    <w:rsid w:val="00A40246"/>
    <w:rsid w:val="00A431AC"/>
    <w:rsid w:val="00A43F10"/>
    <w:rsid w:val="00A52973"/>
    <w:rsid w:val="00A85692"/>
    <w:rsid w:val="00A87358"/>
    <w:rsid w:val="00A904DA"/>
    <w:rsid w:val="00A92590"/>
    <w:rsid w:val="00AB1542"/>
    <w:rsid w:val="00AB4CCF"/>
    <w:rsid w:val="00AC5741"/>
    <w:rsid w:val="00AD25C2"/>
    <w:rsid w:val="00AD3B5E"/>
    <w:rsid w:val="00AE3AAF"/>
    <w:rsid w:val="00AF2193"/>
    <w:rsid w:val="00AF6B32"/>
    <w:rsid w:val="00B067BA"/>
    <w:rsid w:val="00B06B73"/>
    <w:rsid w:val="00B1414F"/>
    <w:rsid w:val="00B216EE"/>
    <w:rsid w:val="00B64348"/>
    <w:rsid w:val="00B67A14"/>
    <w:rsid w:val="00B8357E"/>
    <w:rsid w:val="00B86E80"/>
    <w:rsid w:val="00B90EA9"/>
    <w:rsid w:val="00BA142E"/>
    <w:rsid w:val="00BB7E14"/>
    <w:rsid w:val="00BC7BF9"/>
    <w:rsid w:val="00BD283D"/>
    <w:rsid w:val="00BE0292"/>
    <w:rsid w:val="00BF117B"/>
    <w:rsid w:val="00BF17DC"/>
    <w:rsid w:val="00C073A9"/>
    <w:rsid w:val="00C07B30"/>
    <w:rsid w:val="00C177AF"/>
    <w:rsid w:val="00C33EF8"/>
    <w:rsid w:val="00C359F0"/>
    <w:rsid w:val="00C36557"/>
    <w:rsid w:val="00C42BC7"/>
    <w:rsid w:val="00C446D7"/>
    <w:rsid w:val="00C6353C"/>
    <w:rsid w:val="00C653AD"/>
    <w:rsid w:val="00C6637E"/>
    <w:rsid w:val="00C80966"/>
    <w:rsid w:val="00C93C6B"/>
    <w:rsid w:val="00C95EDE"/>
    <w:rsid w:val="00C95FEC"/>
    <w:rsid w:val="00CB20E0"/>
    <w:rsid w:val="00CB6457"/>
    <w:rsid w:val="00CC40AA"/>
    <w:rsid w:val="00CC4C0C"/>
    <w:rsid w:val="00CC7C4E"/>
    <w:rsid w:val="00CD397A"/>
    <w:rsid w:val="00CD7251"/>
    <w:rsid w:val="00CE1F76"/>
    <w:rsid w:val="00CE2E10"/>
    <w:rsid w:val="00CE7428"/>
    <w:rsid w:val="00CF5511"/>
    <w:rsid w:val="00CF631E"/>
    <w:rsid w:val="00D00499"/>
    <w:rsid w:val="00D01332"/>
    <w:rsid w:val="00D06989"/>
    <w:rsid w:val="00D11CCF"/>
    <w:rsid w:val="00D158BA"/>
    <w:rsid w:val="00D170E8"/>
    <w:rsid w:val="00D276BD"/>
    <w:rsid w:val="00D35EB5"/>
    <w:rsid w:val="00D41344"/>
    <w:rsid w:val="00D45750"/>
    <w:rsid w:val="00D5144E"/>
    <w:rsid w:val="00D563C3"/>
    <w:rsid w:val="00D56E37"/>
    <w:rsid w:val="00D779AC"/>
    <w:rsid w:val="00D80F67"/>
    <w:rsid w:val="00D80FA3"/>
    <w:rsid w:val="00D91C88"/>
    <w:rsid w:val="00DA372A"/>
    <w:rsid w:val="00DA3998"/>
    <w:rsid w:val="00DB7E73"/>
    <w:rsid w:val="00DC5B16"/>
    <w:rsid w:val="00DE5B0F"/>
    <w:rsid w:val="00DE5BFE"/>
    <w:rsid w:val="00DF3198"/>
    <w:rsid w:val="00DF3FF7"/>
    <w:rsid w:val="00DF42C6"/>
    <w:rsid w:val="00DF6757"/>
    <w:rsid w:val="00DF7F25"/>
    <w:rsid w:val="00E03C82"/>
    <w:rsid w:val="00E07A76"/>
    <w:rsid w:val="00E23A7E"/>
    <w:rsid w:val="00E267F3"/>
    <w:rsid w:val="00E40237"/>
    <w:rsid w:val="00E7172D"/>
    <w:rsid w:val="00E85AC3"/>
    <w:rsid w:val="00E93A50"/>
    <w:rsid w:val="00E971DC"/>
    <w:rsid w:val="00EB5947"/>
    <w:rsid w:val="00EB7BDC"/>
    <w:rsid w:val="00EC35C0"/>
    <w:rsid w:val="00ED290F"/>
    <w:rsid w:val="00EE1E8C"/>
    <w:rsid w:val="00EF53DB"/>
    <w:rsid w:val="00F0319C"/>
    <w:rsid w:val="00F05F4A"/>
    <w:rsid w:val="00F116AF"/>
    <w:rsid w:val="00F166A1"/>
    <w:rsid w:val="00F20812"/>
    <w:rsid w:val="00F21623"/>
    <w:rsid w:val="00F4438C"/>
    <w:rsid w:val="00F6483C"/>
    <w:rsid w:val="00F84598"/>
    <w:rsid w:val="00F931BB"/>
    <w:rsid w:val="00F96445"/>
    <w:rsid w:val="00FB0E74"/>
    <w:rsid w:val="00FB5CDF"/>
    <w:rsid w:val="00FC6107"/>
    <w:rsid w:val="00FD17B4"/>
    <w:rsid w:val="00FE0959"/>
    <w:rsid w:val="00FE6549"/>
    <w:rsid w:val="00FF48B9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E3794-9043-462C-8CCF-DDB3758E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C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3</cp:revision>
  <dcterms:created xsi:type="dcterms:W3CDTF">2021-12-20T11:05:00Z</dcterms:created>
  <dcterms:modified xsi:type="dcterms:W3CDTF">2021-12-20T11:06:00Z</dcterms:modified>
</cp:coreProperties>
</file>